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ED88" w14:textId="1B080170" w:rsidR="00E972CB" w:rsidRDefault="00E972CB" w:rsidP="00E972CB">
      <w:pPr>
        <w:shd w:val="clear" w:color="auto" w:fill="FFFFFF"/>
        <w:jc w:val="center"/>
        <w:rPr>
          <w:b/>
          <w:bCs/>
          <w:color w:val="333333"/>
        </w:rPr>
      </w:pPr>
      <w:r>
        <w:rPr>
          <w:b/>
          <w:bCs/>
          <w:color w:val="333333"/>
        </w:rPr>
        <w:t>Appendix II to Part 200 - Contract Provisions for Non-Federal Entity Contracts Under Federal Awards</w:t>
      </w:r>
    </w:p>
    <w:p w14:paraId="6EA73C0A" w14:textId="77777777" w:rsidR="00E972CB" w:rsidRDefault="00E972CB" w:rsidP="00E972CB">
      <w:pPr>
        <w:pStyle w:val="NormalWeb"/>
        <w:shd w:val="clear" w:color="auto" w:fill="FFFFFF"/>
        <w:spacing w:before="0" w:beforeAutospacing="0" w:after="150" w:afterAutospacing="0"/>
        <w:rPr>
          <w:color w:val="333333"/>
        </w:rPr>
      </w:pPr>
    </w:p>
    <w:p w14:paraId="20B75055" w14:textId="77777777" w:rsidR="00E972CB" w:rsidRDefault="00E972CB" w:rsidP="00E972CB">
      <w:pPr>
        <w:pStyle w:val="NormalWeb"/>
        <w:shd w:val="clear" w:color="auto" w:fill="FFFFFF"/>
        <w:spacing w:before="0" w:beforeAutospacing="0" w:after="150" w:afterAutospacing="0"/>
      </w:pPr>
      <w:r>
        <w:t>In addition to other provisions required by the Federal agency or non-Federal entity, all contracts made by the non-Federal entity under the Federal award must contain provisions covering the following, as applicable.</w:t>
      </w:r>
    </w:p>
    <w:p w14:paraId="33919ABB" w14:textId="77777777" w:rsidR="00E972CB" w:rsidRDefault="00E972CB" w:rsidP="00E972CB">
      <w:pPr>
        <w:pStyle w:val="psection-4"/>
        <w:shd w:val="clear" w:color="auto" w:fill="FFFFFF"/>
        <w:spacing w:before="0" w:beforeAutospacing="0" w:after="150" w:afterAutospacing="0"/>
      </w:pPr>
      <w:r>
        <w:rPr>
          <w:rStyle w:val="enumxml"/>
          <w:b/>
          <w:bCs/>
        </w:rPr>
        <w:t>(A)</w:t>
      </w:r>
      <w:r>
        <w:t> Contracts for more than the simplified acquisition threshold, which is the inflation adjusted amount determined by the Civilian Agency Acquisition Council and the Defense Acquisition Regulations Council (Councils) as authorized by </w:t>
      </w:r>
      <w:hyperlink r:id="rId4" w:history="1">
        <w:r>
          <w:rPr>
            <w:rStyle w:val="Hyperlink"/>
          </w:rPr>
          <w:t>41 U.S.C. 1908</w:t>
        </w:r>
      </w:hyperlink>
      <w:r>
        <w:t>, must address administrative, contractual, or legal remedies in instances where contractors violate or breach contract terms, and provide for such sanctions and penalties as appropriate.</w:t>
      </w:r>
    </w:p>
    <w:p w14:paraId="73E9C734" w14:textId="4F88887F" w:rsidR="00E972CB" w:rsidRDefault="00E972CB" w:rsidP="00E972CB">
      <w:pPr>
        <w:pStyle w:val="psection-4"/>
        <w:shd w:val="clear" w:color="auto" w:fill="FFFFFF"/>
        <w:spacing w:before="0" w:beforeAutospacing="0" w:after="150" w:afterAutospacing="0"/>
      </w:pPr>
      <w:r>
        <w:rPr>
          <w:rStyle w:val="enumxml"/>
          <w:b/>
          <w:bCs/>
        </w:rPr>
        <w:t>(B)</w:t>
      </w:r>
      <w:r>
        <w:t xml:space="preserve"> All contracts in excess of $10,000 must address termination for cause and for convenience by the non-Federal entity including the manner by which it will be </w:t>
      </w:r>
      <w:r w:rsidR="00DA262F">
        <w:t>affected</w:t>
      </w:r>
      <w:r>
        <w:t xml:space="preserve"> and the basis for settlement.</w:t>
      </w:r>
    </w:p>
    <w:p w14:paraId="6A8C1CD6" w14:textId="77777777" w:rsidR="00E972CB" w:rsidRDefault="00E972CB" w:rsidP="00E972CB">
      <w:pPr>
        <w:pStyle w:val="psection-4"/>
        <w:shd w:val="clear" w:color="auto" w:fill="FFFFFF"/>
        <w:spacing w:before="0" w:beforeAutospacing="0" w:after="150" w:afterAutospacing="0"/>
      </w:pPr>
      <w:r>
        <w:rPr>
          <w:rStyle w:val="enumxml"/>
          <w:b/>
          <w:bCs/>
        </w:rPr>
        <w:t>(C)</w:t>
      </w:r>
      <w:r>
        <w:t> Equal Employment Opportunity. Except as otherwise provided under </w:t>
      </w:r>
      <w:hyperlink r:id="rId5" w:history="1">
        <w:r>
          <w:rPr>
            <w:rStyle w:val="Hyperlink"/>
          </w:rPr>
          <w:t>41 CFR Part 60</w:t>
        </w:r>
      </w:hyperlink>
      <w:r>
        <w:t>, all contracts that meet the definition of “federally assisted construction contract” in </w:t>
      </w:r>
      <w:hyperlink r:id="rId6" w:history="1">
        <w:r>
          <w:rPr>
            <w:rStyle w:val="Hyperlink"/>
          </w:rPr>
          <w:t>41 CFR Part 60-1</w:t>
        </w:r>
      </w:hyperlink>
      <w:r>
        <w:t>.3 must include the equal opportunity clause provided under </w:t>
      </w:r>
      <w:hyperlink r:id="rId7" w:history="1">
        <w:r>
          <w:rPr>
            <w:rStyle w:val="Hyperlink"/>
          </w:rPr>
          <w:t>41</w:t>
        </w:r>
      </w:hyperlink>
      <w:r>
        <w:t> CFR 60-1.4(b), in accordance with </w:t>
      </w:r>
      <w:hyperlink r:id="rId8" w:history="1">
        <w:r>
          <w:rPr>
            <w:rStyle w:val="Hyperlink"/>
          </w:rPr>
          <w:t>Executive Order 11246</w:t>
        </w:r>
      </w:hyperlink>
      <w:r>
        <w:t>, “Equal Employment Opportunity” (</w:t>
      </w:r>
      <w:hyperlink r:id="rId9" w:history="1">
        <w:r>
          <w:rPr>
            <w:rStyle w:val="Hyperlink"/>
          </w:rPr>
          <w:t>30 FR 12319</w:t>
        </w:r>
      </w:hyperlink>
      <w:r>
        <w:t>, 12935, </w:t>
      </w:r>
      <w:hyperlink r:id="rId10" w:history="1">
        <w:r>
          <w:rPr>
            <w:rStyle w:val="Hyperlink"/>
          </w:rPr>
          <w:t>3</w:t>
        </w:r>
      </w:hyperlink>
      <w:r>
        <w:t> CFR Part, 1964-1965 Comp., p. 339), as amended by </w:t>
      </w:r>
      <w:hyperlink r:id="rId11" w:history="1">
        <w:r>
          <w:rPr>
            <w:rStyle w:val="Hyperlink"/>
          </w:rPr>
          <w:t>Executive Order 11375</w:t>
        </w:r>
      </w:hyperlink>
      <w:r>
        <w:t>, “Amending </w:t>
      </w:r>
      <w:hyperlink r:id="rId12" w:history="1">
        <w:r>
          <w:rPr>
            <w:rStyle w:val="Hyperlink"/>
          </w:rPr>
          <w:t>Executive Order 11246</w:t>
        </w:r>
      </w:hyperlink>
      <w:r>
        <w:t> Relating to Equal Employment Opportunity,” and implementing regulations at </w:t>
      </w:r>
      <w:hyperlink r:id="rId13" w:history="1">
        <w:r>
          <w:rPr>
            <w:rStyle w:val="Hyperlink"/>
          </w:rPr>
          <w:t>41 CFR part 60</w:t>
        </w:r>
      </w:hyperlink>
      <w:r>
        <w:t>, “Office of Federal Contract Compliance Programs, Equal Employment Opportunity, Department of Labor.”</w:t>
      </w:r>
    </w:p>
    <w:p w14:paraId="1C3B1CD4" w14:textId="77777777" w:rsidR="00E972CB" w:rsidRDefault="00E972CB" w:rsidP="00E972CB">
      <w:pPr>
        <w:pStyle w:val="psection-4"/>
        <w:shd w:val="clear" w:color="auto" w:fill="FFFFFF"/>
        <w:spacing w:before="0" w:beforeAutospacing="0" w:after="150" w:afterAutospacing="0"/>
      </w:pPr>
      <w:r>
        <w:rPr>
          <w:rStyle w:val="enumxml"/>
          <w:b/>
          <w:bCs/>
        </w:rPr>
        <w:t>(D)</w:t>
      </w:r>
      <w:r>
        <w:t> </w:t>
      </w:r>
      <w:hyperlink r:id="rId14" w:history="1">
        <w:r>
          <w:rPr>
            <w:rStyle w:val="Hyperlink"/>
          </w:rPr>
          <w:t>Davis-Bacon Act</w:t>
        </w:r>
      </w:hyperlink>
      <w:r>
        <w:t>, as amended (</w:t>
      </w:r>
      <w:hyperlink r:id="rId15" w:history="1">
        <w:r>
          <w:rPr>
            <w:rStyle w:val="Hyperlink"/>
          </w:rPr>
          <w:t>40</w:t>
        </w:r>
      </w:hyperlink>
      <w:r>
        <w:t> U.S.C. </w:t>
      </w:r>
      <w:hyperlink r:id="rId16" w:history="1">
        <w:r>
          <w:rPr>
            <w:rStyle w:val="Hyperlink"/>
          </w:rPr>
          <w:t>3141</w:t>
        </w:r>
      </w:hyperlink>
      <w:r>
        <w:t>-</w:t>
      </w:r>
      <w:hyperlink r:id="rId17" w:history="1">
        <w:r>
          <w:rPr>
            <w:rStyle w:val="Hyperlink"/>
          </w:rPr>
          <w:t>3148</w:t>
        </w:r>
      </w:hyperlink>
      <w:r>
        <w:t>). When required by Federal program legislation, all prime construction contracts in excess of $2,000 awarded by non-Federal entities must include a provision for compliance with the </w:t>
      </w:r>
      <w:hyperlink r:id="rId18" w:history="1">
        <w:r>
          <w:rPr>
            <w:rStyle w:val="Hyperlink"/>
          </w:rPr>
          <w:t>Davis-Bacon Act</w:t>
        </w:r>
      </w:hyperlink>
      <w:r>
        <w:t> (</w:t>
      </w:r>
      <w:hyperlink r:id="rId19" w:history="1">
        <w:r>
          <w:rPr>
            <w:rStyle w:val="Hyperlink"/>
          </w:rPr>
          <w:t>40</w:t>
        </w:r>
      </w:hyperlink>
      <w:r>
        <w:t> U.S.C. </w:t>
      </w:r>
      <w:hyperlink r:id="rId20" w:history="1">
        <w:r>
          <w:rPr>
            <w:rStyle w:val="Hyperlink"/>
          </w:rPr>
          <w:t>3141</w:t>
        </w:r>
      </w:hyperlink>
      <w:r>
        <w:t>-</w:t>
      </w:r>
      <w:hyperlink r:id="rId21" w:history="1">
        <w:r>
          <w:rPr>
            <w:rStyle w:val="Hyperlink"/>
          </w:rPr>
          <w:t>3144</w:t>
        </w:r>
      </w:hyperlink>
      <w:r>
        <w:t>, and </w:t>
      </w:r>
      <w:hyperlink r:id="rId22" w:history="1">
        <w:r>
          <w:rPr>
            <w:rStyle w:val="Hyperlink"/>
          </w:rPr>
          <w:t>3146</w:t>
        </w:r>
      </w:hyperlink>
      <w:r>
        <w:t>-</w:t>
      </w:r>
      <w:hyperlink r:id="rId23" w:history="1">
        <w:r>
          <w:rPr>
            <w:rStyle w:val="Hyperlink"/>
          </w:rPr>
          <w:t>3148</w:t>
        </w:r>
      </w:hyperlink>
      <w:r>
        <w:t>) as supplemented by Department of Labor regulations (</w:t>
      </w:r>
      <w:hyperlink r:id="rId24" w:history="1">
        <w:r>
          <w:rPr>
            <w:rStyle w:val="Hyperlink"/>
          </w:rPr>
          <w:t>29 CFR Part 5</w:t>
        </w:r>
      </w:hyperlink>
      <w:r>
        <w:t>,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w:t>
      </w:r>
      <w:hyperlink r:id="rId25" w:history="1">
        <w:r>
          <w:rPr>
            <w:rStyle w:val="Hyperlink"/>
          </w:rPr>
          <w:t>40 U.S.C. 3145</w:t>
        </w:r>
      </w:hyperlink>
      <w:r>
        <w:t>), as supplemented by Department of Labor regulations (</w:t>
      </w:r>
      <w:hyperlink r:id="rId26" w:history="1">
        <w:r>
          <w:rPr>
            <w:rStyle w:val="Hyperlink"/>
          </w:rPr>
          <w:t>29 CFR Part 3</w:t>
        </w:r>
      </w:hyperlink>
      <w:r>
        <w:t>,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22CDB7C0" w14:textId="77777777" w:rsidR="00E972CB" w:rsidRDefault="00E972CB" w:rsidP="00E972CB">
      <w:pPr>
        <w:pStyle w:val="psection-4"/>
        <w:shd w:val="clear" w:color="auto" w:fill="FFFFFF"/>
        <w:spacing w:before="0" w:beforeAutospacing="0" w:after="150" w:afterAutospacing="0"/>
      </w:pPr>
      <w:r>
        <w:rPr>
          <w:rStyle w:val="enumxml"/>
          <w:b/>
          <w:bCs/>
        </w:rPr>
        <w:lastRenderedPageBreak/>
        <w:t>(E)</w:t>
      </w:r>
      <w:r>
        <w:t> </w:t>
      </w:r>
      <w:hyperlink r:id="rId27" w:history="1">
        <w:r>
          <w:rPr>
            <w:rStyle w:val="Hyperlink"/>
          </w:rPr>
          <w:t>Contract Work Hours and Safety Standards Act</w:t>
        </w:r>
      </w:hyperlink>
      <w:r>
        <w:t> (</w:t>
      </w:r>
      <w:hyperlink r:id="rId28" w:history="1">
        <w:r>
          <w:rPr>
            <w:rStyle w:val="Hyperlink"/>
          </w:rPr>
          <w:t>40</w:t>
        </w:r>
      </w:hyperlink>
      <w:r>
        <w:t> U.S.C. </w:t>
      </w:r>
      <w:hyperlink r:id="rId29" w:history="1">
        <w:r>
          <w:rPr>
            <w:rStyle w:val="Hyperlink"/>
          </w:rPr>
          <w:t>3701</w:t>
        </w:r>
      </w:hyperlink>
      <w:r>
        <w:t>-</w:t>
      </w:r>
      <w:hyperlink r:id="rId30" w:history="1">
        <w:r>
          <w:rPr>
            <w:rStyle w:val="Hyperlink"/>
          </w:rPr>
          <w:t>3708</w:t>
        </w:r>
      </w:hyperlink>
      <w:r>
        <w:t>). Where applicable, all contracts awarded by the non-Federal entity in excess of $100,000 that involve the employment of mechanics or laborers must include a provision for compliance with </w:t>
      </w:r>
      <w:hyperlink r:id="rId31" w:history="1">
        <w:r>
          <w:rPr>
            <w:rStyle w:val="Hyperlink"/>
          </w:rPr>
          <w:t>40</w:t>
        </w:r>
      </w:hyperlink>
      <w:r>
        <w:t> U.S.C. </w:t>
      </w:r>
      <w:hyperlink r:id="rId32" w:history="1">
        <w:r>
          <w:rPr>
            <w:rStyle w:val="Hyperlink"/>
          </w:rPr>
          <w:t>3702</w:t>
        </w:r>
      </w:hyperlink>
      <w:r>
        <w:t> and </w:t>
      </w:r>
      <w:hyperlink r:id="rId33" w:history="1">
        <w:r>
          <w:rPr>
            <w:rStyle w:val="Hyperlink"/>
          </w:rPr>
          <w:t>3704</w:t>
        </w:r>
      </w:hyperlink>
      <w:r>
        <w:t>, as supplemented by Department of Labor regulations (</w:t>
      </w:r>
      <w:hyperlink r:id="rId34" w:history="1">
        <w:r>
          <w:rPr>
            <w:rStyle w:val="Hyperlink"/>
          </w:rPr>
          <w:t>29 CFR Part 5</w:t>
        </w:r>
      </w:hyperlink>
      <w:r>
        <w:t>). Under </w:t>
      </w:r>
      <w:hyperlink r:id="rId35" w:history="1">
        <w:r>
          <w:rPr>
            <w:rStyle w:val="Hyperlink"/>
          </w:rPr>
          <w:t>40 U.S.C. 3702</w:t>
        </w:r>
      </w:hyperlink>
      <w:r>
        <w:t>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w:t>
      </w:r>
      <w:hyperlink r:id="rId36" w:history="1">
        <w:r>
          <w:rPr>
            <w:rStyle w:val="Hyperlink"/>
          </w:rPr>
          <w:t>40 U.S.C. 3704</w:t>
        </w:r>
      </w:hyperlink>
      <w:r>
        <w:t>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490F0635" w14:textId="77777777" w:rsidR="00E972CB" w:rsidRDefault="00E972CB" w:rsidP="00E972CB">
      <w:pPr>
        <w:pStyle w:val="psection-4"/>
        <w:shd w:val="clear" w:color="auto" w:fill="FFFFFF"/>
        <w:spacing w:before="0" w:beforeAutospacing="0" w:after="150" w:afterAutospacing="0"/>
      </w:pPr>
      <w:r>
        <w:rPr>
          <w:rStyle w:val="enumxml"/>
          <w:b/>
          <w:bCs/>
        </w:rPr>
        <w:t>(F)</w:t>
      </w:r>
      <w:r>
        <w:t> Rights to Inventions Made Under a Contract or Agreement. If the Federal award meets the definition of “funding agreement” under </w:t>
      </w:r>
      <w:hyperlink r:id="rId37" w:history="1">
        <w:r>
          <w:rPr>
            <w:rStyle w:val="Hyperlink"/>
          </w:rPr>
          <w:t>37 CFR § 401.2</w:t>
        </w:r>
      </w:hyperlink>
      <w:r>
        <w:t>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w:t>
      </w:r>
      <w:hyperlink r:id="rId38" w:history="1">
        <w:r>
          <w:rPr>
            <w:rStyle w:val="Hyperlink"/>
          </w:rPr>
          <w:t>37 CFR Part 401</w:t>
        </w:r>
      </w:hyperlink>
      <w:r>
        <w:t>, “Rights to Inventions Made by Nonprofit Organizations and Small Business Firms Under Government Grants, Contracts and Cooperative Agreements,” and any implementing regulations issued by the awarding agency.</w:t>
      </w:r>
    </w:p>
    <w:p w14:paraId="606E07B4" w14:textId="77777777" w:rsidR="00E972CB" w:rsidRDefault="00E972CB" w:rsidP="00E972CB">
      <w:pPr>
        <w:pStyle w:val="psection-4"/>
        <w:shd w:val="clear" w:color="auto" w:fill="FFFFFF"/>
        <w:spacing w:before="0" w:beforeAutospacing="0" w:after="150" w:afterAutospacing="0"/>
      </w:pPr>
      <w:r>
        <w:rPr>
          <w:rStyle w:val="enumxml"/>
          <w:b/>
          <w:bCs/>
        </w:rPr>
        <w:t>(G)</w:t>
      </w:r>
      <w:r>
        <w:t> </w:t>
      </w:r>
      <w:hyperlink r:id="rId39" w:history="1">
        <w:r>
          <w:rPr>
            <w:rStyle w:val="Hyperlink"/>
          </w:rPr>
          <w:t>Clean Air Act</w:t>
        </w:r>
      </w:hyperlink>
      <w:r>
        <w:t> (</w:t>
      </w:r>
      <w:hyperlink r:id="rId40" w:history="1">
        <w:r>
          <w:rPr>
            <w:rStyle w:val="Hyperlink"/>
          </w:rPr>
          <w:t>42</w:t>
        </w:r>
      </w:hyperlink>
      <w:r>
        <w:t> U.S.C. </w:t>
      </w:r>
      <w:hyperlink r:id="rId41" w:history="1">
        <w:r>
          <w:rPr>
            <w:rStyle w:val="Hyperlink"/>
          </w:rPr>
          <w:t>7401</w:t>
        </w:r>
      </w:hyperlink>
      <w:r>
        <w:t>-</w:t>
      </w:r>
      <w:hyperlink r:id="rId42" w:history="1">
        <w:r>
          <w:rPr>
            <w:rStyle w:val="Hyperlink"/>
          </w:rPr>
          <w:t>7671q</w:t>
        </w:r>
      </w:hyperlink>
      <w:r>
        <w:t>.) and the </w:t>
      </w:r>
      <w:hyperlink r:id="rId43" w:history="1">
        <w:r>
          <w:rPr>
            <w:rStyle w:val="Hyperlink"/>
          </w:rPr>
          <w:t>Federal Water Pollution Control Act</w:t>
        </w:r>
      </w:hyperlink>
      <w:r>
        <w:t> (</w:t>
      </w:r>
      <w:hyperlink r:id="rId44" w:history="1">
        <w:r>
          <w:rPr>
            <w:rStyle w:val="Hyperlink"/>
          </w:rPr>
          <w:t>33</w:t>
        </w:r>
      </w:hyperlink>
      <w:r>
        <w:t> U.S.C. </w:t>
      </w:r>
      <w:hyperlink r:id="rId45" w:history="1">
        <w:r>
          <w:rPr>
            <w:rStyle w:val="Hyperlink"/>
          </w:rPr>
          <w:t>1251</w:t>
        </w:r>
      </w:hyperlink>
      <w:r>
        <w:t>-</w:t>
      </w:r>
      <w:hyperlink r:id="rId46" w:history="1">
        <w:r>
          <w:rPr>
            <w:rStyle w:val="Hyperlink"/>
          </w:rPr>
          <w:t>1387</w:t>
        </w:r>
      </w:hyperlink>
      <w:r>
        <w:t>), as amended - Contracts and subgrants of amounts in excess of $150,000 must contain a provision that requires the non-Federal award to agree to comply with all applicable standards, orders or regulations issued pursuant to the </w:t>
      </w:r>
      <w:hyperlink r:id="rId47" w:history="1">
        <w:r>
          <w:rPr>
            <w:rStyle w:val="Hyperlink"/>
          </w:rPr>
          <w:t>Clean Air Act</w:t>
        </w:r>
      </w:hyperlink>
      <w:r>
        <w:t> (</w:t>
      </w:r>
      <w:hyperlink r:id="rId48" w:history="1">
        <w:r>
          <w:rPr>
            <w:rStyle w:val="Hyperlink"/>
          </w:rPr>
          <w:t>42</w:t>
        </w:r>
      </w:hyperlink>
      <w:r>
        <w:t> U.S.C. </w:t>
      </w:r>
      <w:hyperlink r:id="rId49" w:history="1">
        <w:r>
          <w:rPr>
            <w:rStyle w:val="Hyperlink"/>
          </w:rPr>
          <w:t>7401</w:t>
        </w:r>
      </w:hyperlink>
      <w:r>
        <w:t>-</w:t>
      </w:r>
      <w:hyperlink r:id="rId50" w:history="1">
        <w:r>
          <w:rPr>
            <w:rStyle w:val="Hyperlink"/>
          </w:rPr>
          <w:t>7671q</w:t>
        </w:r>
      </w:hyperlink>
      <w:r>
        <w:t>) and the </w:t>
      </w:r>
      <w:hyperlink r:id="rId51" w:history="1">
        <w:r>
          <w:rPr>
            <w:rStyle w:val="Hyperlink"/>
          </w:rPr>
          <w:t>Federal Water Pollution Control Act</w:t>
        </w:r>
      </w:hyperlink>
      <w:r>
        <w:t> as amended (</w:t>
      </w:r>
      <w:hyperlink r:id="rId52" w:history="1">
        <w:r>
          <w:rPr>
            <w:rStyle w:val="Hyperlink"/>
          </w:rPr>
          <w:t>33</w:t>
        </w:r>
      </w:hyperlink>
      <w:r>
        <w:t> U.S.C. </w:t>
      </w:r>
      <w:hyperlink r:id="rId53" w:history="1">
        <w:r>
          <w:rPr>
            <w:rStyle w:val="Hyperlink"/>
          </w:rPr>
          <w:t>1251</w:t>
        </w:r>
      </w:hyperlink>
      <w:r>
        <w:t>-</w:t>
      </w:r>
      <w:hyperlink r:id="rId54" w:history="1">
        <w:r>
          <w:rPr>
            <w:rStyle w:val="Hyperlink"/>
          </w:rPr>
          <w:t>1387</w:t>
        </w:r>
      </w:hyperlink>
      <w:r>
        <w:t>). Violations must be reported to the Federal awarding agency and the Regional Office of the Environmental Protection Agency (EPA).</w:t>
      </w:r>
    </w:p>
    <w:p w14:paraId="782A662B" w14:textId="77777777" w:rsidR="00E972CB" w:rsidRDefault="00E972CB" w:rsidP="00E972CB">
      <w:pPr>
        <w:pStyle w:val="psection-4"/>
        <w:shd w:val="clear" w:color="auto" w:fill="FFFFFF"/>
        <w:spacing w:before="0" w:beforeAutospacing="0" w:after="150" w:afterAutospacing="0"/>
      </w:pPr>
      <w:r>
        <w:rPr>
          <w:rStyle w:val="enumxml"/>
          <w:b/>
          <w:bCs/>
        </w:rPr>
        <w:t>(H)</w:t>
      </w:r>
      <w:r>
        <w:t> Debarment and Suspension (Executive Orders 12549 and 12689) - A contract award (see </w:t>
      </w:r>
      <w:hyperlink r:id="rId55" w:history="1">
        <w:r>
          <w:rPr>
            <w:rStyle w:val="Hyperlink"/>
          </w:rPr>
          <w:t>2 CFR 180.220</w:t>
        </w:r>
      </w:hyperlink>
      <w:r>
        <w:t>) must not be made to parties listed on the governmentwide exclusions in the System for Award Management (SAM), in accordance with the OMB guidelines at </w:t>
      </w:r>
      <w:hyperlink r:id="rId56" w:history="1">
        <w:r>
          <w:rPr>
            <w:rStyle w:val="Hyperlink"/>
          </w:rPr>
          <w:t>2</w:t>
        </w:r>
      </w:hyperlink>
      <w:r>
        <w:t> CFR 180 that implement Executive Orders 12549 (</w:t>
      </w:r>
      <w:hyperlink r:id="rId57" w:history="1">
        <w:r>
          <w:rPr>
            <w:rStyle w:val="Hyperlink"/>
          </w:rPr>
          <w:t>3 CFR part 1986</w:t>
        </w:r>
      </w:hyperlink>
      <w:r>
        <w:t> Comp., p. 189) and 12689 (</w:t>
      </w:r>
      <w:hyperlink r:id="rId58" w:history="1">
        <w:r>
          <w:rPr>
            <w:rStyle w:val="Hyperlink"/>
          </w:rPr>
          <w:t>3 CFR part 1989</w:t>
        </w:r>
      </w:hyperlink>
      <w:r>
        <w:t> Comp., p. 235), “Debarment and Suspension.” SAM Exclusions contains the names of parties debarred, suspended, or otherwise excluded by agencies, as well as parties declared ineligible under statutory or regulatory authority other than </w:t>
      </w:r>
      <w:hyperlink r:id="rId59" w:history="1">
        <w:r>
          <w:rPr>
            <w:rStyle w:val="Hyperlink"/>
          </w:rPr>
          <w:t>Executive Order 12549</w:t>
        </w:r>
      </w:hyperlink>
      <w:r>
        <w:t>.</w:t>
      </w:r>
    </w:p>
    <w:p w14:paraId="0D9E8166" w14:textId="77777777" w:rsidR="00E972CB" w:rsidRDefault="00E972CB" w:rsidP="00E972CB">
      <w:pPr>
        <w:pStyle w:val="psection-4"/>
        <w:shd w:val="clear" w:color="auto" w:fill="FFFFFF"/>
        <w:spacing w:before="0" w:beforeAutospacing="0" w:after="150" w:afterAutospacing="0"/>
      </w:pPr>
      <w:r>
        <w:rPr>
          <w:rStyle w:val="enumxml"/>
          <w:b/>
          <w:bCs/>
        </w:rPr>
        <w:t>(I)</w:t>
      </w:r>
      <w:r>
        <w:t> Byrd Anti-Lobbying Amendment (</w:t>
      </w:r>
      <w:hyperlink r:id="rId60" w:history="1">
        <w:r>
          <w:rPr>
            <w:rStyle w:val="Hyperlink"/>
          </w:rPr>
          <w:t>31 U.S.C. 1352</w:t>
        </w:r>
      </w:hyperlink>
      <w:r>
        <w:t>)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61" w:history="1">
        <w:r>
          <w:rPr>
            <w:rStyle w:val="Hyperlink"/>
          </w:rPr>
          <w:t>31 U.S.C. 1352</w:t>
        </w:r>
      </w:hyperlink>
      <w:r>
        <w:t xml:space="preserve">. Each tier must also disclose any lobbying with non-Federal funds that takes place in connection with obtaining any Federal award. Such disclosures are forwarded from tier to </w:t>
      </w:r>
      <w:proofErr w:type="spellStart"/>
      <w:r>
        <w:t>tier</w:t>
      </w:r>
      <w:proofErr w:type="spellEnd"/>
      <w:r>
        <w:t xml:space="preserve"> up to the non-Federal award.</w:t>
      </w:r>
    </w:p>
    <w:p w14:paraId="14D6F09C" w14:textId="77777777" w:rsidR="00E972CB" w:rsidRDefault="00E972CB" w:rsidP="00E972CB">
      <w:pPr>
        <w:pStyle w:val="psection-4"/>
        <w:shd w:val="clear" w:color="auto" w:fill="FFFFFF"/>
        <w:spacing w:before="0" w:beforeAutospacing="0" w:after="150" w:afterAutospacing="0"/>
      </w:pPr>
      <w:r>
        <w:rPr>
          <w:rStyle w:val="enumxml"/>
          <w:b/>
          <w:bCs/>
        </w:rPr>
        <w:t>(J)</w:t>
      </w:r>
      <w:r>
        <w:t> See </w:t>
      </w:r>
      <w:hyperlink r:id="rId62" w:history="1">
        <w:r>
          <w:rPr>
            <w:rStyle w:val="Hyperlink"/>
          </w:rPr>
          <w:t>§ 200.323</w:t>
        </w:r>
      </w:hyperlink>
      <w:r>
        <w:t>.</w:t>
      </w:r>
    </w:p>
    <w:p w14:paraId="14D96040" w14:textId="77777777" w:rsidR="00E972CB" w:rsidRDefault="00E972CB" w:rsidP="00E972CB">
      <w:pPr>
        <w:pStyle w:val="psection-4"/>
        <w:shd w:val="clear" w:color="auto" w:fill="FFFFFF"/>
        <w:spacing w:before="0" w:beforeAutospacing="0" w:after="150" w:afterAutospacing="0"/>
      </w:pPr>
      <w:r>
        <w:rPr>
          <w:rStyle w:val="enumxml"/>
          <w:b/>
          <w:bCs/>
        </w:rPr>
        <w:t>(K)</w:t>
      </w:r>
      <w:r>
        <w:t> See </w:t>
      </w:r>
      <w:hyperlink r:id="rId63" w:history="1">
        <w:r>
          <w:rPr>
            <w:rStyle w:val="Hyperlink"/>
          </w:rPr>
          <w:t>§ 200.216</w:t>
        </w:r>
      </w:hyperlink>
      <w:r>
        <w:t>.</w:t>
      </w:r>
    </w:p>
    <w:p w14:paraId="724E26FA" w14:textId="77777777" w:rsidR="00E972CB" w:rsidRDefault="00E972CB" w:rsidP="00E972CB">
      <w:pPr>
        <w:pStyle w:val="psection-4"/>
        <w:shd w:val="clear" w:color="auto" w:fill="FFFFFF"/>
        <w:spacing w:before="0" w:beforeAutospacing="0" w:after="150" w:afterAutospacing="0"/>
      </w:pPr>
      <w:r>
        <w:rPr>
          <w:rStyle w:val="enumxml"/>
          <w:b/>
          <w:bCs/>
        </w:rPr>
        <w:t>(L)</w:t>
      </w:r>
      <w:r>
        <w:t> See </w:t>
      </w:r>
      <w:hyperlink r:id="rId64" w:history="1">
        <w:r>
          <w:rPr>
            <w:rStyle w:val="Hyperlink"/>
          </w:rPr>
          <w:t>§ 200.322</w:t>
        </w:r>
      </w:hyperlink>
      <w:r>
        <w:t>.</w:t>
      </w:r>
    </w:p>
    <w:p w14:paraId="3B3A39B6" w14:textId="77777777" w:rsidR="00E972CB" w:rsidRDefault="00E972CB" w:rsidP="00E972CB">
      <w:pPr>
        <w:ind w:firstLine="720"/>
        <w:jc w:val="right"/>
      </w:pPr>
    </w:p>
    <w:p w14:paraId="449CD77A" w14:textId="77777777" w:rsidR="00035CD1" w:rsidRDefault="00035CD1"/>
    <w:sectPr w:rsidR="00035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CB"/>
    <w:rsid w:val="00035CD1"/>
    <w:rsid w:val="00DA262F"/>
    <w:rsid w:val="00E9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6B44"/>
  <w15:chartTrackingRefBased/>
  <w15:docId w15:val="{05D4B5DF-2970-44FE-8CE0-237E5373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2C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972CB"/>
    <w:rPr>
      <w:color w:val="0000FF"/>
      <w:u w:val="single"/>
    </w:rPr>
  </w:style>
  <w:style w:type="paragraph" w:styleId="NormalWeb">
    <w:name w:val="Normal (Web)"/>
    <w:basedOn w:val="Normal"/>
    <w:uiPriority w:val="99"/>
    <w:semiHidden/>
    <w:unhideWhenUsed/>
    <w:rsid w:val="00E972CB"/>
    <w:pPr>
      <w:spacing w:before="100" w:beforeAutospacing="1" w:after="100" w:afterAutospacing="1"/>
    </w:pPr>
    <w:rPr>
      <w:rFonts w:eastAsia="Times New Roman" w:cs="Times New Roman"/>
      <w:szCs w:val="24"/>
    </w:rPr>
  </w:style>
  <w:style w:type="paragraph" w:customStyle="1" w:styleId="psection-4">
    <w:name w:val="psection-4"/>
    <w:basedOn w:val="Normal"/>
    <w:uiPriority w:val="99"/>
    <w:semiHidden/>
    <w:rsid w:val="00E972CB"/>
    <w:pPr>
      <w:spacing w:before="100" w:beforeAutospacing="1" w:after="100" w:afterAutospacing="1"/>
    </w:pPr>
    <w:rPr>
      <w:rFonts w:eastAsia="Times New Roman" w:cs="Times New Roman"/>
      <w:szCs w:val="24"/>
    </w:rPr>
  </w:style>
  <w:style w:type="character" w:customStyle="1" w:styleId="enumxml">
    <w:name w:val="enumxml"/>
    <w:basedOn w:val="DefaultParagraphFont"/>
    <w:rsid w:val="00E9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cfr/text/41/part-60" TargetMode="External"/><Relationship Id="rId18" Type="http://schemas.openxmlformats.org/officeDocument/2006/relationships/hyperlink" Target="https://www.law.cornell.edu/topn/bacon-davis_act" TargetMode="External"/><Relationship Id="rId26" Type="http://schemas.openxmlformats.org/officeDocument/2006/relationships/hyperlink" Target="https://www.law.cornell.edu/cfr/text/29/part-3" TargetMode="External"/><Relationship Id="rId39" Type="http://schemas.openxmlformats.org/officeDocument/2006/relationships/hyperlink" Target="https://www.law.cornell.edu/topn/air_pollution_control_act" TargetMode="External"/><Relationship Id="rId21" Type="http://schemas.openxmlformats.org/officeDocument/2006/relationships/hyperlink" Target="https://www.law.cornell.edu/uscode/text/40/3144" TargetMode="External"/><Relationship Id="rId34" Type="http://schemas.openxmlformats.org/officeDocument/2006/relationships/hyperlink" Target="https://www.law.cornell.edu/cfr/text/29/part-5" TargetMode="External"/><Relationship Id="rId42" Type="http://schemas.openxmlformats.org/officeDocument/2006/relationships/hyperlink" Target="https://www.law.cornell.edu/uscode/text/42/7671q" TargetMode="External"/><Relationship Id="rId47" Type="http://schemas.openxmlformats.org/officeDocument/2006/relationships/hyperlink" Target="https://www.law.cornell.edu/topn/air_pollution_control_act" TargetMode="External"/><Relationship Id="rId50" Type="http://schemas.openxmlformats.org/officeDocument/2006/relationships/hyperlink" Target="https://www.law.cornell.edu/uscode/text/42/7671q" TargetMode="External"/><Relationship Id="rId55" Type="http://schemas.openxmlformats.org/officeDocument/2006/relationships/hyperlink" Target="https://www.law.cornell.edu/cfr/text/2/180.220" TargetMode="External"/><Relationship Id="rId63" Type="http://schemas.openxmlformats.org/officeDocument/2006/relationships/hyperlink" Target="https://www.law.cornell.edu/cfr/text/2/200.216" TargetMode="External"/><Relationship Id="rId7" Type="http://schemas.openxmlformats.org/officeDocument/2006/relationships/hyperlink" Target="https://www.law.cornell.edu/cfr/text/41" TargetMode="External"/><Relationship Id="rId2" Type="http://schemas.openxmlformats.org/officeDocument/2006/relationships/settings" Target="settings.xml"/><Relationship Id="rId16" Type="http://schemas.openxmlformats.org/officeDocument/2006/relationships/hyperlink" Target="https://www.law.cornell.edu/uscode/text/40/3141" TargetMode="External"/><Relationship Id="rId20" Type="http://schemas.openxmlformats.org/officeDocument/2006/relationships/hyperlink" Target="https://www.law.cornell.edu/uscode/text/40/3141" TargetMode="External"/><Relationship Id="rId29" Type="http://schemas.openxmlformats.org/officeDocument/2006/relationships/hyperlink" Target="https://www.law.cornell.edu/uscode/text/40/3701" TargetMode="External"/><Relationship Id="rId41" Type="http://schemas.openxmlformats.org/officeDocument/2006/relationships/hyperlink" Target="https://www.law.cornell.edu/uscode/text/42/7401" TargetMode="External"/><Relationship Id="rId54" Type="http://schemas.openxmlformats.org/officeDocument/2006/relationships/hyperlink" Target="https://www.law.cornell.edu/uscode/text/33/1387" TargetMode="External"/><Relationship Id="rId62" Type="http://schemas.openxmlformats.org/officeDocument/2006/relationships/hyperlink" Target="https://www.law.cornell.edu/cfr/text/2/200.323" TargetMode="External"/><Relationship Id="rId1" Type="http://schemas.openxmlformats.org/officeDocument/2006/relationships/styles" Target="styles.xml"/><Relationship Id="rId6" Type="http://schemas.openxmlformats.org/officeDocument/2006/relationships/hyperlink" Target="https://www.law.cornell.edu/cfr/text/41/part-60-1" TargetMode="External"/><Relationship Id="rId11" Type="http://schemas.openxmlformats.org/officeDocument/2006/relationships/hyperlink" Target="https://www.govinfo.gov/link/cpd/executiveorder/11375" TargetMode="External"/><Relationship Id="rId24" Type="http://schemas.openxmlformats.org/officeDocument/2006/relationships/hyperlink" Target="https://www.law.cornell.edu/cfr/text/29/part-5" TargetMode="External"/><Relationship Id="rId32" Type="http://schemas.openxmlformats.org/officeDocument/2006/relationships/hyperlink" Target="https://www.law.cornell.edu/uscode/text/40/3702" TargetMode="External"/><Relationship Id="rId37" Type="http://schemas.openxmlformats.org/officeDocument/2006/relationships/hyperlink" Target="https://www.law.cornell.edu/cfr/text/37/401.2" TargetMode="External"/><Relationship Id="rId40" Type="http://schemas.openxmlformats.org/officeDocument/2006/relationships/hyperlink" Target="https://www.law.cornell.edu/uscode/text/42" TargetMode="External"/><Relationship Id="rId45" Type="http://schemas.openxmlformats.org/officeDocument/2006/relationships/hyperlink" Target="https://www.law.cornell.edu/uscode/text/33/1251" TargetMode="External"/><Relationship Id="rId53" Type="http://schemas.openxmlformats.org/officeDocument/2006/relationships/hyperlink" Target="https://www.law.cornell.edu/uscode/text/33/1251" TargetMode="External"/><Relationship Id="rId58" Type="http://schemas.openxmlformats.org/officeDocument/2006/relationships/hyperlink" Target="https://www.law.cornell.edu/cfr/text/3/part-1989" TargetMode="External"/><Relationship Id="rId66" Type="http://schemas.openxmlformats.org/officeDocument/2006/relationships/theme" Target="theme/theme1.xml"/><Relationship Id="rId5" Type="http://schemas.openxmlformats.org/officeDocument/2006/relationships/hyperlink" Target="https://www.law.cornell.edu/cfr/text/41/part-60" TargetMode="External"/><Relationship Id="rId15" Type="http://schemas.openxmlformats.org/officeDocument/2006/relationships/hyperlink" Target="https://www.law.cornell.edu/uscode/text/40" TargetMode="External"/><Relationship Id="rId23" Type="http://schemas.openxmlformats.org/officeDocument/2006/relationships/hyperlink" Target="https://www.law.cornell.edu/uscode/text/40/3148" TargetMode="External"/><Relationship Id="rId28" Type="http://schemas.openxmlformats.org/officeDocument/2006/relationships/hyperlink" Target="https://www.law.cornell.edu/uscode/text/40" TargetMode="External"/><Relationship Id="rId36" Type="http://schemas.openxmlformats.org/officeDocument/2006/relationships/hyperlink" Target="https://www.law.cornell.edu/uscode/text/40/3704" TargetMode="External"/><Relationship Id="rId49" Type="http://schemas.openxmlformats.org/officeDocument/2006/relationships/hyperlink" Target="https://www.law.cornell.edu/uscode/text/42/7401" TargetMode="External"/><Relationship Id="rId57" Type="http://schemas.openxmlformats.org/officeDocument/2006/relationships/hyperlink" Target="https://www.law.cornell.edu/cfr/text/3/part-1986" TargetMode="External"/><Relationship Id="rId61" Type="http://schemas.openxmlformats.org/officeDocument/2006/relationships/hyperlink" Target="https://www.law.cornell.edu/uscode/text/31/1352" TargetMode="External"/><Relationship Id="rId10" Type="http://schemas.openxmlformats.org/officeDocument/2006/relationships/hyperlink" Target="https://www.law.cornell.edu/cfr/text/3" TargetMode="External"/><Relationship Id="rId19" Type="http://schemas.openxmlformats.org/officeDocument/2006/relationships/hyperlink" Target="https://www.law.cornell.edu/uscode/text/40" TargetMode="External"/><Relationship Id="rId31" Type="http://schemas.openxmlformats.org/officeDocument/2006/relationships/hyperlink" Target="https://www.law.cornell.edu/uscode/text/40" TargetMode="External"/><Relationship Id="rId44" Type="http://schemas.openxmlformats.org/officeDocument/2006/relationships/hyperlink" Target="https://www.law.cornell.edu/uscode/text/33" TargetMode="External"/><Relationship Id="rId52" Type="http://schemas.openxmlformats.org/officeDocument/2006/relationships/hyperlink" Target="https://www.law.cornell.edu/uscode/text/33" TargetMode="External"/><Relationship Id="rId60" Type="http://schemas.openxmlformats.org/officeDocument/2006/relationships/hyperlink" Target="https://www.law.cornell.edu/uscode/text/31/1352" TargetMode="External"/><Relationship Id="rId65" Type="http://schemas.openxmlformats.org/officeDocument/2006/relationships/fontTable" Target="fontTable.xml"/><Relationship Id="rId4" Type="http://schemas.openxmlformats.org/officeDocument/2006/relationships/hyperlink" Target="https://www.law.cornell.edu/uscode/text/41/1908" TargetMode="External"/><Relationship Id="rId9" Type="http://schemas.openxmlformats.org/officeDocument/2006/relationships/hyperlink" Target="https://www.law.cornell.edu/rio/citation/30_FR_12319" TargetMode="External"/><Relationship Id="rId14" Type="http://schemas.openxmlformats.org/officeDocument/2006/relationships/hyperlink" Target="https://www.law.cornell.edu/topn/bacon-davis_act" TargetMode="External"/><Relationship Id="rId22" Type="http://schemas.openxmlformats.org/officeDocument/2006/relationships/hyperlink" Target="https://www.law.cornell.edu/uscode/text/40/3146" TargetMode="External"/><Relationship Id="rId27" Type="http://schemas.openxmlformats.org/officeDocument/2006/relationships/hyperlink" Target="https://www.law.cornell.edu/topn/contract_work_hours_and_safety_standards_act" TargetMode="External"/><Relationship Id="rId30" Type="http://schemas.openxmlformats.org/officeDocument/2006/relationships/hyperlink" Target="https://www.law.cornell.edu/uscode/text/40/3708" TargetMode="External"/><Relationship Id="rId35" Type="http://schemas.openxmlformats.org/officeDocument/2006/relationships/hyperlink" Target="https://www.law.cornell.edu/uscode/text/40/3702" TargetMode="External"/><Relationship Id="rId43" Type="http://schemas.openxmlformats.org/officeDocument/2006/relationships/hyperlink" Target="https://www.law.cornell.edu/topn/clean_water_act" TargetMode="External"/><Relationship Id="rId48" Type="http://schemas.openxmlformats.org/officeDocument/2006/relationships/hyperlink" Target="https://www.law.cornell.edu/uscode/text/42" TargetMode="External"/><Relationship Id="rId56" Type="http://schemas.openxmlformats.org/officeDocument/2006/relationships/hyperlink" Target="https://www.law.cornell.edu/cfr/text/2" TargetMode="External"/><Relationship Id="rId64" Type="http://schemas.openxmlformats.org/officeDocument/2006/relationships/hyperlink" Target="https://www.law.cornell.edu/cfr/text/2/200.322" TargetMode="External"/><Relationship Id="rId8" Type="http://schemas.openxmlformats.org/officeDocument/2006/relationships/hyperlink" Target="https://www.govinfo.gov/link/cpd/executiveorder/11246" TargetMode="External"/><Relationship Id="rId51" Type="http://schemas.openxmlformats.org/officeDocument/2006/relationships/hyperlink" Target="https://www.law.cornell.edu/topn/clean_water_act" TargetMode="External"/><Relationship Id="rId3" Type="http://schemas.openxmlformats.org/officeDocument/2006/relationships/webSettings" Target="webSettings.xml"/><Relationship Id="rId12" Type="http://schemas.openxmlformats.org/officeDocument/2006/relationships/hyperlink" Target="https://www.govinfo.gov/link/cpd/executiveorder/11246" TargetMode="External"/><Relationship Id="rId17" Type="http://schemas.openxmlformats.org/officeDocument/2006/relationships/hyperlink" Target="https://www.law.cornell.edu/uscode/text/40/3148" TargetMode="External"/><Relationship Id="rId25" Type="http://schemas.openxmlformats.org/officeDocument/2006/relationships/hyperlink" Target="https://www.law.cornell.edu/uscode/text/40/3145" TargetMode="External"/><Relationship Id="rId33" Type="http://schemas.openxmlformats.org/officeDocument/2006/relationships/hyperlink" Target="https://www.law.cornell.edu/uscode/text/40/3704" TargetMode="External"/><Relationship Id="rId38" Type="http://schemas.openxmlformats.org/officeDocument/2006/relationships/hyperlink" Target="https://www.law.cornell.edu/cfr/text/37/part-401" TargetMode="External"/><Relationship Id="rId46" Type="http://schemas.openxmlformats.org/officeDocument/2006/relationships/hyperlink" Target="https://www.law.cornell.edu/uscode/text/33/1387" TargetMode="External"/><Relationship Id="rId59" Type="http://schemas.openxmlformats.org/officeDocument/2006/relationships/hyperlink" Target="https://www.govinfo.gov/link/cpd/executiveorder/12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1677</Words>
  <Characters>9565</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Herrin</dc:creator>
  <cp:keywords/>
  <dc:description/>
  <cp:lastModifiedBy>Mason Herrin</cp:lastModifiedBy>
  <cp:revision>2</cp:revision>
  <dcterms:created xsi:type="dcterms:W3CDTF">2022-12-15T23:04:00Z</dcterms:created>
  <dcterms:modified xsi:type="dcterms:W3CDTF">2023-01-24T21:16:00Z</dcterms:modified>
</cp:coreProperties>
</file>